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b w:val="1"/>
          <w:sz w:val="28"/>
          <w:szCs w:val="28"/>
        </w:rPr>
      </w:pPr>
      <w:bookmarkStart w:colFirst="0" w:colLast="0" w:name="_ol0ka1t72jgi" w:id="0"/>
      <w:bookmarkEnd w:id="0"/>
      <w:r w:rsidDel="00000000" w:rsidR="00000000" w:rsidRPr="00000000">
        <w:rPr>
          <w:b w:val="1"/>
          <w:sz w:val="28"/>
          <w:szCs w:val="28"/>
          <w:rtl w:val="0"/>
        </w:rPr>
        <w:t xml:space="preserve">ANEXO III -  DECLARAÇÃO DE COMPATIBILIDADE DE CUSTOS</w:t>
      </w:r>
    </w:p>
    <w:p w:rsidR="00000000" w:rsidDel="00000000" w:rsidP="00000000" w:rsidRDefault="00000000" w:rsidRPr="00000000" w14:paraId="00000002">
      <w:pPr>
        <w:jc w:val="center"/>
        <w:rPr>
          <w:b w:val="1"/>
          <w:color w:val="ff0000"/>
          <w:sz w:val="28"/>
          <w:szCs w:val="28"/>
        </w:rPr>
      </w:pPr>
      <w:r w:rsidDel="00000000" w:rsidR="00000000" w:rsidRPr="00000000">
        <w:rPr>
          <w:b w:val="1"/>
          <w:sz w:val="28"/>
          <w:szCs w:val="28"/>
          <w:rtl w:val="0"/>
        </w:rPr>
        <w:t xml:space="preserve">TED Nº </w:t>
      </w:r>
      <w:r w:rsidDel="00000000" w:rsidR="00000000" w:rsidRPr="00000000">
        <w:rPr>
          <w:b w:val="1"/>
          <w:color w:val="ff0000"/>
          <w:sz w:val="28"/>
          <w:szCs w:val="28"/>
          <w:rtl w:val="0"/>
        </w:rPr>
        <w:t xml:space="preserve">XXXXX/202x</w:t>
      </w:r>
    </w:p>
    <w:p w:rsidR="00000000" w:rsidDel="00000000" w:rsidP="00000000" w:rsidRDefault="00000000" w:rsidRPr="00000000" w14:paraId="00000003">
      <w:pPr>
        <w:shd w:fill="ffffff" w:val="clear"/>
        <w:spacing w:after="160" w:before="240" w:lineRule="auto"/>
        <w:rPr>
          <w:rFonts w:ascii="Verdana" w:cs="Verdana" w:eastAsia="Verdana" w:hAnsi="Verdana"/>
          <w:b w:val="1"/>
          <w:sz w:val="18"/>
          <w:szCs w:val="18"/>
        </w:rPr>
      </w:pPr>
      <w:r w:rsidDel="00000000" w:rsidR="00000000" w:rsidRPr="00000000">
        <w:rPr>
          <w:color w:val="ff0000"/>
          <w:sz w:val="24"/>
          <w:szCs w:val="24"/>
          <w:rtl w:val="0"/>
        </w:rPr>
        <w:t xml:space="preserve">(inciso IV do art. 11 do Decreto nº 10.426, de 16 de julho de 2020)</w:t>
      </w:r>
      <w:r w:rsidDel="00000000" w:rsidR="00000000" w:rsidRPr="00000000">
        <w:rPr>
          <w:rtl w:val="0"/>
        </w:rPr>
      </w:r>
    </w:p>
    <w:p w:rsidR="00000000" w:rsidDel="00000000" w:rsidP="00000000" w:rsidRDefault="00000000" w:rsidRPr="00000000" w14:paraId="00000004">
      <w:pPr>
        <w:spacing w:after="120" w:before="120" w:lineRule="auto"/>
        <w:ind w:left="20" w:firstLine="0"/>
        <w:jc w:val="cente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005">
      <w:pPr>
        <w:spacing w:after="120" w:before="120" w:lineRule="auto"/>
        <w:ind w:left="20" w:firstLine="0"/>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DECLARAÇÃO DE COMPATIBILIDADE DE CUSTOS</w:t>
      </w:r>
    </w:p>
    <w:p w:rsidR="00000000" w:rsidDel="00000000" w:rsidP="00000000" w:rsidRDefault="00000000" w:rsidRPr="00000000" w14:paraId="00000006">
      <w:pPr>
        <w:spacing w:after="120" w:before="120" w:lineRule="auto"/>
        <w:ind w:left="2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p>
    <w:p w:rsidR="00000000" w:rsidDel="00000000" w:rsidP="00000000" w:rsidRDefault="00000000" w:rsidRPr="00000000" w14:paraId="00000007">
      <w:pPr>
        <w:spacing w:after="120" w:before="120" w:lineRule="auto"/>
        <w:ind w:left="20" w:firstLine="0"/>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 </w:t>
      </w:r>
    </w:p>
    <w:p w:rsidR="00000000" w:rsidDel="00000000" w:rsidP="00000000" w:rsidRDefault="00000000" w:rsidRPr="00000000" w14:paraId="00000008">
      <w:pPr>
        <w:spacing w:after="240" w:before="240" w:line="480" w:lineRule="auto"/>
        <w:ind w:left="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EU, </w:t>
      </w:r>
      <w:r w:rsidDel="00000000" w:rsidR="00000000" w:rsidRPr="00000000">
        <w:rPr>
          <w:rFonts w:ascii="Verdana" w:cs="Verdana" w:eastAsia="Verdana" w:hAnsi="Verdana"/>
          <w:color w:val="ff0000"/>
          <w:sz w:val="20"/>
          <w:szCs w:val="20"/>
          <w:rtl w:val="0"/>
        </w:rPr>
        <w:t xml:space="preserve">nome do Reitor atual do IFMS</w:t>
      </w:r>
      <w:r w:rsidDel="00000000" w:rsidR="00000000" w:rsidRPr="00000000">
        <w:rPr>
          <w:rFonts w:ascii="Verdana" w:cs="Verdana" w:eastAsia="Verdana" w:hAnsi="Verdana"/>
          <w:sz w:val="20"/>
          <w:szCs w:val="20"/>
          <w:rtl w:val="0"/>
        </w:rPr>
        <w:t xml:space="preserve">, CPF nº </w:t>
      </w:r>
      <w:r w:rsidDel="00000000" w:rsidR="00000000" w:rsidRPr="00000000">
        <w:rPr>
          <w:rFonts w:ascii="Verdana" w:cs="Verdana" w:eastAsia="Verdana" w:hAnsi="Verdana"/>
          <w:color w:val="ff0000"/>
          <w:sz w:val="20"/>
          <w:szCs w:val="20"/>
          <w:rtl w:val="0"/>
        </w:rPr>
        <w:t xml:space="preserve">do Reitor atual do IFMS</w:t>
      </w:r>
      <w:r w:rsidDel="00000000" w:rsidR="00000000" w:rsidRPr="00000000">
        <w:rPr>
          <w:rFonts w:ascii="Verdana" w:cs="Verdana" w:eastAsia="Verdana" w:hAnsi="Verdana"/>
          <w:sz w:val="20"/>
          <w:szCs w:val="20"/>
          <w:rtl w:val="0"/>
        </w:rPr>
        <w:t xml:space="preserve">, ocupante do cargo de Reitor DECLARO, para fins de comprovação junto à SETEC / Secretaria de Educação Profissional e Tecnológica,  nos termos do inciso IV do art. 11 do Decreto nº 10.426, de 16 de julho de 2020, sob as penalidades da lei, que os valores dos itens apresentados no Plano de Trabalho para o Termo de Execução Descentralizada - </w:t>
      </w:r>
      <w:r w:rsidDel="00000000" w:rsidR="00000000" w:rsidRPr="00000000">
        <w:rPr>
          <w:rFonts w:ascii="Verdana" w:cs="Verdana" w:eastAsia="Verdana" w:hAnsi="Verdana"/>
          <w:color w:val="ff0000"/>
          <w:sz w:val="20"/>
          <w:szCs w:val="20"/>
          <w:rtl w:val="0"/>
        </w:rPr>
        <w:t xml:space="preserve">TED nº xxxxx/202x</w:t>
      </w:r>
      <w:r w:rsidDel="00000000" w:rsidR="00000000" w:rsidRPr="00000000">
        <w:rPr>
          <w:rFonts w:ascii="Verdana" w:cs="Verdana" w:eastAsia="Verdana" w:hAnsi="Verdana"/>
          <w:sz w:val="20"/>
          <w:szCs w:val="20"/>
          <w:rtl w:val="0"/>
        </w:rPr>
        <w:t xml:space="preserve">, apresentado pelo(a) IFMS / Instituto Federal de Educação, Ciência e Tecnologia de Mato Grosso do Sul , estão aderentes à realidade de execução do objeto proposto.</w:t>
      </w:r>
    </w:p>
    <w:p w:rsidR="00000000" w:rsidDel="00000000" w:rsidP="00000000" w:rsidRDefault="00000000" w:rsidRPr="00000000" w14:paraId="00000009">
      <w:pPr>
        <w:spacing w:after="240" w:before="240" w:line="480" w:lineRule="auto"/>
        <w:ind w:left="2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after="120" w:before="120" w:lineRule="auto"/>
        <w:ind w:left="2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80"/>
        <w:gridCol w:w="3480"/>
        <w:tblGridChange w:id="0">
          <w:tblGrid>
            <w:gridCol w:w="1935"/>
            <w:gridCol w:w="3480"/>
            <w:gridCol w:w="3480"/>
          </w:tblGrid>
        </w:tblGridChange>
      </w:tblGrid>
      <w:tr>
        <w:trPr>
          <w:cantSplit w:val="0"/>
          <w:trHeight w:val="1970" w:hRule="atLeast"/>
          <w:tblHeader w:val="0"/>
        </w:trPr>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160" w:before="240" w:line="247.2"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Data</w:t>
            </w:r>
          </w:p>
          <w:p w:rsidR="00000000" w:rsidDel="00000000" w:rsidP="00000000" w:rsidRDefault="00000000" w:rsidRPr="00000000" w14:paraId="0000000D">
            <w:pPr>
              <w:spacing w:after="160" w:before="240" w:line="247.2" w:lineRule="auto"/>
              <w:rPr>
                <w:rFonts w:ascii="Verdana" w:cs="Verdana" w:eastAsia="Verdana" w:hAnsi="Verdana"/>
                <w:sz w:val="16"/>
                <w:szCs w:val="16"/>
              </w:rPr>
            </w:pPr>
            <w:r w:rsidDel="00000000" w:rsidR="00000000" w:rsidRPr="00000000">
              <w:rPr>
                <w:rtl w:val="0"/>
              </w:rPr>
            </w:r>
          </w:p>
          <w:p w:rsidR="00000000" w:rsidDel="00000000" w:rsidP="00000000" w:rsidRDefault="00000000" w:rsidRPr="00000000" w14:paraId="0000000E">
            <w:pPr>
              <w:spacing w:after="160" w:before="240" w:lineRule="auto"/>
              <w:rPr>
                <w:rFonts w:ascii="Verdana" w:cs="Verdana" w:eastAsia="Verdana" w:hAnsi="Verdana"/>
                <w:color w:val="ff0000"/>
                <w:sz w:val="16"/>
                <w:szCs w:val="16"/>
              </w:rPr>
            </w:pPr>
            <w:r w:rsidDel="00000000" w:rsidR="00000000" w:rsidRPr="00000000">
              <w:rPr>
                <w:rFonts w:ascii="Verdana" w:cs="Verdana" w:eastAsia="Verdana" w:hAnsi="Verdana"/>
                <w:color w:val="ff0000"/>
                <w:sz w:val="16"/>
                <w:szCs w:val="16"/>
                <w:rtl w:val="0"/>
              </w:rPr>
              <w:t xml:space="preserve">dia/mês/ano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after="160" w:befor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Nome e Cargo da Autoridade da Unidade Descentralizada, com competência para assinar o TED</w:t>
            </w:r>
          </w:p>
          <w:p w:rsidR="00000000" w:rsidDel="00000000" w:rsidP="00000000" w:rsidRDefault="00000000" w:rsidRPr="00000000" w14:paraId="00000010">
            <w:pPr>
              <w:keepLines w:val="1"/>
              <w:spacing w:after="160" w:before="24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nome do Reitor atual</w:t>
            </w:r>
          </w:p>
          <w:p w:rsidR="00000000" w:rsidDel="00000000" w:rsidP="00000000" w:rsidRDefault="00000000" w:rsidRPr="00000000" w14:paraId="00000011">
            <w:pPr>
              <w:keepLines w:val="1"/>
              <w:spacing w:after="160" w:before="240" w:line="240" w:lineRule="auto"/>
              <w:jc w:val="center"/>
              <w:rPr>
                <w:rFonts w:ascii="Verdana" w:cs="Verdana" w:eastAsia="Verdana" w:hAnsi="Verdana"/>
                <w:color w:val="ff0000"/>
                <w:sz w:val="20"/>
                <w:szCs w:val="20"/>
              </w:rPr>
            </w:pPr>
            <w:r w:rsidDel="00000000" w:rsidR="00000000" w:rsidRPr="00000000">
              <w:rPr>
                <w:rFonts w:ascii="Verdana" w:cs="Verdana" w:eastAsia="Verdana" w:hAnsi="Verdana"/>
                <w:sz w:val="20"/>
                <w:szCs w:val="20"/>
                <w:rtl w:val="0"/>
              </w:rPr>
              <w:t xml:space="preserve">Reitor</w:t>
            </w: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after="160" w:before="240" w:lineRule="auto"/>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Assinatura da Autoridade da Unidade Descentralizada, com competência para assinar o TED</w:t>
            </w:r>
          </w:p>
          <w:p w:rsidR="00000000" w:rsidDel="00000000" w:rsidP="00000000" w:rsidRDefault="00000000" w:rsidRPr="00000000" w14:paraId="00000013">
            <w:pPr>
              <w:spacing w:after="160" w:before="240" w:lineRule="auto"/>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 </w:t>
            </w:r>
            <w:r w:rsidDel="00000000" w:rsidR="00000000" w:rsidRPr="00000000">
              <w:rPr>
                <w:rFonts w:ascii="Verdana" w:cs="Verdana" w:eastAsia="Verdana" w:hAnsi="Verdana"/>
                <w:color w:val="ff0000"/>
                <w:sz w:val="20"/>
                <w:szCs w:val="20"/>
                <w:rtl w:val="0"/>
              </w:rPr>
              <w:t xml:space="preserve">assinar com token</w:t>
            </w:r>
            <w:r w:rsidDel="00000000" w:rsidR="00000000" w:rsidRPr="00000000">
              <w:rPr>
                <w:rtl w:val="0"/>
              </w:rPr>
            </w:r>
          </w:p>
        </w:tc>
      </w:tr>
    </w:tbl>
    <w:p w:rsidR="00000000" w:rsidDel="00000000" w:rsidP="00000000" w:rsidRDefault="00000000" w:rsidRPr="00000000" w14:paraId="00000014">
      <w:pPr>
        <w:spacing w:after="240" w:before="240" w:lineRule="auto"/>
        <w:rPr/>
      </w:pPr>
      <w:r w:rsidDel="00000000" w:rsidR="00000000" w:rsidRPr="00000000">
        <w:rPr>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